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B6" w:rsidRPr="0080583E" w:rsidRDefault="008F41B6" w:rsidP="008F41B6">
      <w:pPr>
        <w:jc w:val="center"/>
        <w:rPr>
          <w:b/>
          <w:sz w:val="20"/>
          <w:szCs w:val="20"/>
        </w:rPr>
      </w:pPr>
      <w:r w:rsidRPr="0080583E">
        <w:rPr>
          <w:b/>
          <w:sz w:val="20"/>
          <w:szCs w:val="20"/>
        </w:rPr>
        <w:t>LEARN SHEFFIELD</w:t>
      </w:r>
    </w:p>
    <w:p w:rsidR="008F41B6" w:rsidRPr="0080583E" w:rsidRDefault="000A2A93" w:rsidP="008F41B6">
      <w:pPr>
        <w:jc w:val="center"/>
        <w:rPr>
          <w:b/>
          <w:sz w:val="20"/>
          <w:szCs w:val="20"/>
        </w:rPr>
      </w:pPr>
      <w:r>
        <w:rPr>
          <w:b/>
          <w:sz w:val="20"/>
          <w:szCs w:val="20"/>
        </w:rPr>
        <w:t>EGM – 22 March</w:t>
      </w:r>
      <w:bookmarkStart w:id="0" w:name="_GoBack"/>
      <w:bookmarkEnd w:id="0"/>
      <w:r w:rsidR="008F41B6" w:rsidRPr="0080583E">
        <w:rPr>
          <w:b/>
          <w:sz w:val="20"/>
          <w:szCs w:val="20"/>
        </w:rPr>
        <w:t xml:space="preserve"> 2018</w:t>
      </w:r>
    </w:p>
    <w:p w:rsidR="0084513D" w:rsidRPr="0080583E" w:rsidRDefault="008F41B6" w:rsidP="008F41B6">
      <w:pPr>
        <w:jc w:val="center"/>
        <w:rPr>
          <w:sz w:val="20"/>
          <w:szCs w:val="20"/>
        </w:rPr>
      </w:pPr>
      <w:r w:rsidRPr="0080583E">
        <w:rPr>
          <w:b/>
          <w:sz w:val="20"/>
          <w:szCs w:val="20"/>
        </w:rPr>
        <w:t>Resolution 1 -</w:t>
      </w:r>
      <w:r w:rsidR="00952494">
        <w:rPr>
          <w:b/>
          <w:sz w:val="20"/>
          <w:szCs w:val="20"/>
        </w:rPr>
        <w:t xml:space="preserve"> </w:t>
      </w:r>
      <w:r w:rsidR="0080583E" w:rsidRPr="0080583E">
        <w:rPr>
          <w:b/>
          <w:sz w:val="20"/>
          <w:szCs w:val="20"/>
        </w:rPr>
        <w:t xml:space="preserve">REVISED </w:t>
      </w:r>
      <w:r w:rsidR="00CC25AD" w:rsidRPr="0080583E">
        <w:rPr>
          <w:b/>
          <w:sz w:val="20"/>
          <w:szCs w:val="20"/>
        </w:rPr>
        <w:t>Proposed changes to Articles of Association (second phase) –</w:t>
      </w:r>
      <w:r w:rsidR="0080583E" w:rsidRPr="0080583E">
        <w:rPr>
          <w:b/>
          <w:sz w:val="20"/>
          <w:szCs w:val="20"/>
        </w:rPr>
        <w:t>SPRING term 2018</w:t>
      </w:r>
      <w:r w:rsidRPr="0080583E">
        <w:rPr>
          <w:b/>
          <w:sz w:val="20"/>
          <w:szCs w:val="20"/>
        </w:rPr>
        <w:t xml:space="preserve"> </w:t>
      </w:r>
    </w:p>
    <w:tbl>
      <w:tblPr>
        <w:tblStyle w:val="TableGrid"/>
        <w:tblW w:w="0" w:type="auto"/>
        <w:tblLook w:val="04A0" w:firstRow="1" w:lastRow="0" w:firstColumn="1" w:lastColumn="0" w:noHBand="0" w:noVBand="1"/>
      </w:tblPr>
      <w:tblGrid>
        <w:gridCol w:w="2268"/>
        <w:gridCol w:w="3681"/>
        <w:gridCol w:w="4779"/>
      </w:tblGrid>
      <w:tr w:rsidR="0084513D" w:rsidRPr="0080583E" w:rsidTr="0080583E">
        <w:trPr>
          <w:trHeight w:val="557"/>
        </w:trPr>
        <w:tc>
          <w:tcPr>
            <w:tcW w:w="2268" w:type="dxa"/>
            <w:vAlign w:val="center"/>
          </w:tcPr>
          <w:p w:rsidR="0084513D" w:rsidRPr="0080583E" w:rsidRDefault="0084513D" w:rsidP="004018AD">
            <w:pPr>
              <w:jc w:val="center"/>
              <w:rPr>
                <w:b/>
                <w:i/>
                <w:sz w:val="20"/>
                <w:szCs w:val="20"/>
              </w:rPr>
            </w:pPr>
            <w:r w:rsidRPr="0080583E">
              <w:rPr>
                <w:b/>
                <w:i/>
                <w:sz w:val="20"/>
                <w:szCs w:val="20"/>
              </w:rPr>
              <w:t>Article reference</w:t>
            </w:r>
          </w:p>
        </w:tc>
        <w:tc>
          <w:tcPr>
            <w:tcW w:w="3681" w:type="dxa"/>
            <w:vAlign w:val="center"/>
          </w:tcPr>
          <w:p w:rsidR="0084513D" w:rsidRPr="0080583E" w:rsidRDefault="0084513D" w:rsidP="004018AD">
            <w:pPr>
              <w:jc w:val="center"/>
              <w:rPr>
                <w:b/>
                <w:i/>
                <w:sz w:val="20"/>
                <w:szCs w:val="20"/>
              </w:rPr>
            </w:pPr>
            <w:r w:rsidRPr="0080583E">
              <w:rPr>
                <w:b/>
                <w:i/>
                <w:sz w:val="20"/>
                <w:szCs w:val="20"/>
              </w:rPr>
              <w:t>Proposed change</w:t>
            </w:r>
          </w:p>
        </w:tc>
        <w:tc>
          <w:tcPr>
            <w:tcW w:w="4779" w:type="dxa"/>
            <w:vAlign w:val="center"/>
          </w:tcPr>
          <w:p w:rsidR="0084513D" w:rsidRPr="0080583E" w:rsidRDefault="0084513D" w:rsidP="004018AD">
            <w:pPr>
              <w:jc w:val="center"/>
              <w:rPr>
                <w:rFonts w:cstheme="minorHAnsi"/>
                <w:b/>
                <w:bCs/>
                <w:i/>
                <w:sz w:val="20"/>
                <w:szCs w:val="20"/>
              </w:rPr>
            </w:pPr>
            <w:r w:rsidRPr="0080583E">
              <w:rPr>
                <w:rFonts w:cstheme="minorHAnsi"/>
                <w:b/>
                <w:bCs/>
                <w:i/>
                <w:sz w:val="20"/>
                <w:szCs w:val="20"/>
              </w:rPr>
              <w:t>Recommendation</w:t>
            </w:r>
          </w:p>
        </w:tc>
      </w:tr>
      <w:tr w:rsidR="0084513D" w:rsidRPr="0080583E" w:rsidTr="0080583E">
        <w:trPr>
          <w:trHeight w:val="1880"/>
        </w:trPr>
        <w:tc>
          <w:tcPr>
            <w:tcW w:w="2268" w:type="dxa"/>
            <w:vAlign w:val="center"/>
          </w:tcPr>
          <w:p w:rsidR="0084513D" w:rsidRPr="0080583E" w:rsidRDefault="0084513D" w:rsidP="004018AD">
            <w:pPr>
              <w:jc w:val="center"/>
              <w:rPr>
                <w:b/>
                <w:sz w:val="20"/>
                <w:szCs w:val="20"/>
              </w:rPr>
            </w:pPr>
            <w:r w:rsidRPr="0080583E">
              <w:rPr>
                <w:b/>
                <w:sz w:val="20"/>
                <w:szCs w:val="20"/>
              </w:rPr>
              <w:t>Article 5 – Objects</w:t>
            </w:r>
          </w:p>
          <w:p w:rsidR="0084513D" w:rsidRPr="0080583E" w:rsidRDefault="0084513D" w:rsidP="004018AD">
            <w:pPr>
              <w:jc w:val="center"/>
              <w:rPr>
                <w:b/>
                <w:sz w:val="20"/>
                <w:szCs w:val="20"/>
              </w:rPr>
            </w:pPr>
          </w:p>
          <w:p w:rsidR="0084513D" w:rsidRPr="0080583E" w:rsidRDefault="0084513D" w:rsidP="004018AD">
            <w:pPr>
              <w:jc w:val="center"/>
              <w:rPr>
                <w:b/>
                <w:i/>
                <w:sz w:val="20"/>
                <w:szCs w:val="20"/>
              </w:rPr>
            </w:pPr>
            <w:r w:rsidRPr="0080583E">
              <w:rPr>
                <w:b/>
                <w:i/>
                <w:sz w:val="20"/>
                <w:szCs w:val="20"/>
              </w:rPr>
              <w:t>Recommendation - Advance</w:t>
            </w:r>
          </w:p>
        </w:tc>
        <w:tc>
          <w:tcPr>
            <w:tcW w:w="3681" w:type="dxa"/>
            <w:vAlign w:val="center"/>
          </w:tcPr>
          <w:p w:rsidR="0084513D" w:rsidRPr="0080583E" w:rsidRDefault="0084513D" w:rsidP="004018AD">
            <w:pPr>
              <w:jc w:val="center"/>
              <w:rPr>
                <w:sz w:val="20"/>
                <w:szCs w:val="20"/>
              </w:rPr>
            </w:pPr>
            <w:r w:rsidRPr="0080583E">
              <w:rPr>
                <w:sz w:val="20"/>
                <w:szCs w:val="20"/>
              </w:rPr>
              <w:t>Inclusion of an additional Object which will enable Learn Sh</w:t>
            </w:r>
            <w:r w:rsidR="00952494">
              <w:rPr>
                <w:sz w:val="20"/>
                <w:szCs w:val="20"/>
              </w:rPr>
              <w:t xml:space="preserve">effield to engage in </w:t>
            </w:r>
            <w:r w:rsidRPr="0080583E">
              <w:rPr>
                <w:sz w:val="20"/>
                <w:szCs w:val="20"/>
              </w:rPr>
              <w:t>activities to generate additional income which will be used to support schools’ improvement</w:t>
            </w:r>
          </w:p>
        </w:tc>
        <w:tc>
          <w:tcPr>
            <w:tcW w:w="4779" w:type="dxa"/>
            <w:vAlign w:val="center"/>
          </w:tcPr>
          <w:p w:rsidR="00952494" w:rsidRDefault="0080583E" w:rsidP="00952494">
            <w:pPr>
              <w:jc w:val="center"/>
              <w:rPr>
                <w:sz w:val="20"/>
                <w:szCs w:val="20"/>
              </w:rPr>
            </w:pPr>
            <w:r w:rsidRPr="0080583E">
              <w:rPr>
                <w:sz w:val="20"/>
                <w:szCs w:val="20"/>
              </w:rPr>
              <w:t>Following discussion with SCC and o</w:t>
            </w:r>
            <w:r w:rsidR="00952494">
              <w:rPr>
                <w:sz w:val="20"/>
                <w:szCs w:val="20"/>
              </w:rPr>
              <w:t>n the basis of legal advice an additional clause will be inserted –</w:t>
            </w:r>
          </w:p>
          <w:p w:rsidR="00952494" w:rsidRDefault="00952494" w:rsidP="00952494">
            <w:pPr>
              <w:jc w:val="center"/>
              <w:rPr>
                <w:sz w:val="20"/>
                <w:szCs w:val="20"/>
              </w:rPr>
            </w:pPr>
          </w:p>
          <w:p w:rsidR="0080583E" w:rsidRPr="00952494" w:rsidRDefault="0080583E" w:rsidP="00952494">
            <w:pPr>
              <w:jc w:val="center"/>
              <w:rPr>
                <w:rFonts w:ascii="Trebuchet MS" w:eastAsia="Times New Roman" w:hAnsi="Trebuchet MS"/>
                <w:i/>
                <w:sz w:val="24"/>
                <w:szCs w:val="24"/>
                <w:vertAlign w:val="subscript"/>
                <w:lang w:eastAsia="en-GB"/>
              </w:rPr>
            </w:pPr>
            <w:r w:rsidRPr="00952494">
              <w:rPr>
                <w:rFonts w:ascii="Trebuchet MS" w:eastAsia="Times New Roman" w:hAnsi="Trebuchet MS"/>
                <w:i/>
                <w:sz w:val="20"/>
                <w:szCs w:val="20"/>
                <w:vertAlign w:val="subscript"/>
                <w:lang w:eastAsia="en-GB"/>
              </w:rPr>
              <w:t>"</w:t>
            </w:r>
            <w:r w:rsidRPr="00952494">
              <w:rPr>
                <w:rFonts w:ascii="Trebuchet MS" w:eastAsia="Times New Roman" w:hAnsi="Trebuchet MS"/>
                <w:i/>
                <w:sz w:val="24"/>
                <w:szCs w:val="24"/>
                <w:vertAlign w:val="subscript"/>
                <w:lang w:eastAsia="en-GB"/>
              </w:rPr>
              <w:t xml:space="preserve">to make, or facilitate the making of, arrangements under which facilities or services are provided:  </w:t>
            </w:r>
            <w:r w:rsidRPr="00952494">
              <w:rPr>
                <w:rFonts w:ascii="Trebuchet MS" w:eastAsia="Times New Roman" w:hAnsi="Trebuchet MS"/>
                <w:i/>
                <w:sz w:val="24"/>
                <w:szCs w:val="24"/>
                <w:vertAlign w:val="subscript"/>
                <w:lang w:eastAsia="en-GB"/>
              </w:rPr>
              <w:br/>
            </w:r>
            <w:proofErr w:type="spellStart"/>
            <w:r w:rsidRPr="00952494">
              <w:rPr>
                <w:rFonts w:ascii="Trebuchet MS" w:eastAsia="Times New Roman" w:hAnsi="Trebuchet MS"/>
                <w:i/>
                <w:sz w:val="24"/>
                <w:szCs w:val="24"/>
                <w:vertAlign w:val="subscript"/>
                <w:lang w:eastAsia="en-GB"/>
              </w:rPr>
              <w:t>i</w:t>
            </w:r>
            <w:proofErr w:type="spellEnd"/>
            <w:r w:rsidRPr="00952494">
              <w:rPr>
                <w:rFonts w:ascii="Trebuchet MS" w:eastAsia="Times New Roman" w:hAnsi="Trebuchet MS"/>
                <w:i/>
                <w:sz w:val="24"/>
                <w:szCs w:val="24"/>
                <w:vertAlign w:val="subscript"/>
                <w:lang w:eastAsia="en-GB"/>
              </w:rPr>
              <w:t>) for any educational establishment by the Company or by other persons; or</w:t>
            </w:r>
          </w:p>
          <w:p w:rsidR="0080583E" w:rsidRPr="00952494" w:rsidRDefault="0080583E" w:rsidP="0080583E">
            <w:pPr>
              <w:shd w:val="clear" w:color="auto" w:fill="F4F4F4"/>
              <w:ind w:hanging="1440"/>
              <w:jc w:val="center"/>
              <w:rPr>
                <w:rFonts w:ascii="Trebuchet MS" w:eastAsia="Times New Roman" w:hAnsi="Trebuchet MS" w:cs="Times New Roman"/>
                <w:i/>
                <w:sz w:val="24"/>
                <w:szCs w:val="24"/>
                <w:vertAlign w:val="subscript"/>
                <w:lang w:eastAsia="en-GB"/>
              </w:rPr>
            </w:pPr>
            <w:r w:rsidRPr="00952494">
              <w:rPr>
                <w:rFonts w:ascii="Trebuchet MS" w:eastAsia="Times New Roman" w:hAnsi="Trebuchet MS" w:cs="Times New Roman"/>
                <w:i/>
                <w:sz w:val="24"/>
                <w:szCs w:val="24"/>
                <w:vertAlign w:val="subscript"/>
                <w:lang w:eastAsia="en-GB"/>
              </w:rPr>
              <w:t>II)  by  any educational establishment."</w:t>
            </w:r>
          </w:p>
          <w:p w:rsidR="0080583E" w:rsidRPr="0080583E" w:rsidRDefault="0080583E" w:rsidP="004018AD">
            <w:pPr>
              <w:jc w:val="center"/>
              <w:rPr>
                <w:sz w:val="20"/>
                <w:szCs w:val="20"/>
              </w:rPr>
            </w:pPr>
          </w:p>
        </w:tc>
      </w:tr>
      <w:tr w:rsidR="0084513D" w:rsidRPr="0080583E" w:rsidTr="0080583E">
        <w:trPr>
          <w:trHeight w:val="3115"/>
        </w:trPr>
        <w:tc>
          <w:tcPr>
            <w:tcW w:w="2268" w:type="dxa"/>
            <w:vAlign w:val="center"/>
          </w:tcPr>
          <w:p w:rsidR="0084513D" w:rsidRPr="0080583E" w:rsidRDefault="0084513D" w:rsidP="004018AD">
            <w:pPr>
              <w:jc w:val="center"/>
              <w:rPr>
                <w:b/>
                <w:sz w:val="20"/>
                <w:szCs w:val="20"/>
              </w:rPr>
            </w:pPr>
            <w:r w:rsidRPr="0080583E">
              <w:rPr>
                <w:b/>
                <w:sz w:val="20"/>
                <w:szCs w:val="20"/>
              </w:rPr>
              <w:t>Article 12 – The Board (constitution)</w:t>
            </w:r>
          </w:p>
          <w:p w:rsidR="0084513D" w:rsidRPr="0080583E" w:rsidRDefault="0084513D" w:rsidP="004018AD">
            <w:pPr>
              <w:jc w:val="center"/>
              <w:rPr>
                <w:b/>
                <w:sz w:val="20"/>
                <w:szCs w:val="20"/>
              </w:rPr>
            </w:pPr>
          </w:p>
          <w:p w:rsidR="0084513D" w:rsidRPr="0080583E" w:rsidRDefault="0084513D" w:rsidP="004018AD">
            <w:pPr>
              <w:jc w:val="center"/>
              <w:rPr>
                <w:b/>
                <w:sz w:val="20"/>
                <w:szCs w:val="20"/>
              </w:rPr>
            </w:pPr>
            <w:r w:rsidRPr="0080583E">
              <w:rPr>
                <w:b/>
                <w:i/>
                <w:sz w:val="20"/>
                <w:szCs w:val="20"/>
              </w:rPr>
              <w:t>Recommendation - Advance</w:t>
            </w:r>
          </w:p>
        </w:tc>
        <w:tc>
          <w:tcPr>
            <w:tcW w:w="3681" w:type="dxa"/>
            <w:vAlign w:val="center"/>
          </w:tcPr>
          <w:p w:rsidR="0084513D" w:rsidRPr="0080583E" w:rsidRDefault="0084513D" w:rsidP="004018AD">
            <w:pPr>
              <w:jc w:val="center"/>
              <w:rPr>
                <w:sz w:val="20"/>
                <w:szCs w:val="20"/>
              </w:rPr>
            </w:pPr>
            <w:r w:rsidRPr="0080583E">
              <w:rPr>
                <w:sz w:val="20"/>
                <w:szCs w:val="20"/>
              </w:rPr>
              <w:t>Options are being considered to achieve a more appropriate balance between Directors who are nominated/elected by Member institutions and those appointed directly by the Board on the basis of their skills/experience. This may involve increasing the overall size of the Board, at least during a transitional period.</w:t>
            </w:r>
          </w:p>
          <w:p w:rsidR="00A52A64" w:rsidRPr="0080583E" w:rsidRDefault="00A52A64" w:rsidP="004018AD">
            <w:pPr>
              <w:jc w:val="center"/>
              <w:rPr>
                <w:sz w:val="20"/>
                <w:szCs w:val="20"/>
              </w:rPr>
            </w:pPr>
            <w:r w:rsidRPr="0080583E">
              <w:rPr>
                <w:sz w:val="20"/>
                <w:szCs w:val="20"/>
              </w:rPr>
              <w:t>No change is proposed in relation to clause 13 – the Council shall be entitled to appoint up to two non-executive Directors provided that the number of Council Directors never equals or exceeds 20% of the total number of Directors</w:t>
            </w:r>
          </w:p>
          <w:p w:rsidR="00A52A64" w:rsidRPr="0080583E" w:rsidRDefault="00A52A64" w:rsidP="004018AD">
            <w:pPr>
              <w:jc w:val="center"/>
              <w:rPr>
                <w:sz w:val="20"/>
                <w:szCs w:val="20"/>
              </w:rPr>
            </w:pPr>
          </w:p>
        </w:tc>
        <w:tc>
          <w:tcPr>
            <w:tcW w:w="4779" w:type="dxa"/>
            <w:vAlign w:val="center"/>
          </w:tcPr>
          <w:p w:rsidR="0084513D" w:rsidRPr="0080583E" w:rsidRDefault="00435272" w:rsidP="004018AD">
            <w:pPr>
              <w:jc w:val="center"/>
              <w:rPr>
                <w:i/>
                <w:sz w:val="20"/>
                <w:szCs w:val="20"/>
              </w:rPr>
            </w:pPr>
            <w:r w:rsidRPr="0080583E">
              <w:rPr>
                <w:sz w:val="20"/>
                <w:szCs w:val="20"/>
              </w:rPr>
              <w:t>Amendment to clause 12.2 to read “</w:t>
            </w:r>
            <w:r w:rsidRPr="0080583E">
              <w:rPr>
                <w:i/>
                <w:sz w:val="20"/>
                <w:szCs w:val="20"/>
              </w:rPr>
              <w:t xml:space="preserve">The Board may from time to time at their sole discretion appoint up to </w:t>
            </w:r>
            <w:r w:rsidRPr="0080583E">
              <w:rPr>
                <w:b/>
                <w:i/>
                <w:sz w:val="20"/>
                <w:szCs w:val="20"/>
              </w:rPr>
              <w:t>four</w:t>
            </w:r>
            <w:r w:rsidRPr="0080583E">
              <w:rPr>
                <w:i/>
                <w:sz w:val="20"/>
                <w:szCs w:val="20"/>
              </w:rPr>
              <w:t xml:space="preserve"> additional non-executive Directors in which case the Board shall comprise of up to </w:t>
            </w:r>
            <w:r w:rsidR="00A52A64" w:rsidRPr="0080583E">
              <w:rPr>
                <w:b/>
                <w:i/>
                <w:sz w:val="20"/>
                <w:szCs w:val="20"/>
              </w:rPr>
              <w:t xml:space="preserve">12 </w:t>
            </w:r>
            <w:r w:rsidR="00A52A64" w:rsidRPr="0080583E">
              <w:rPr>
                <w:i/>
                <w:sz w:val="20"/>
                <w:szCs w:val="20"/>
              </w:rPr>
              <w:t>non-executive Directors and  the Chief Executive</w:t>
            </w:r>
          </w:p>
        </w:tc>
      </w:tr>
      <w:tr w:rsidR="0084513D" w:rsidRPr="0080583E" w:rsidTr="0080583E">
        <w:trPr>
          <w:trHeight w:val="2549"/>
        </w:trPr>
        <w:tc>
          <w:tcPr>
            <w:tcW w:w="2268" w:type="dxa"/>
            <w:vAlign w:val="center"/>
          </w:tcPr>
          <w:p w:rsidR="0084513D" w:rsidRPr="0080583E" w:rsidRDefault="0084513D" w:rsidP="004018AD">
            <w:pPr>
              <w:jc w:val="center"/>
              <w:rPr>
                <w:b/>
                <w:sz w:val="20"/>
                <w:szCs w:val="20"/>
              </w:rPr>
            </w:pPr>
            <w:r w:rsidRPr="0080583E">
              <w:rPr>
                <w:b/>
                <w:sz w:val="20"/>
                <w:szCs w:val="20"/>
              </w:rPr>
              <w:t>Article 15 – Term of office of Non-Executive Directors</w:t>
            </w:r>
          </w:p>
          <w:p w:rsidR="0084513D" w:rsidRPr="0080583E" w:rsidRDefault="0084513D" w:rsidP="004018AD">
            <w:pPr>
              <w:jc w:val="center"/>
              <w:rPr>
                <w:b/>
                <w:sz w:val="20"/>
                <w:szCs w:val="20"/>
              </w:rPr>
            </w:pPr>
          </w:p>
          <w:p w:rsidR="0084513D" w:rsidRPr="0080583E" w:rsidRDefault="0084513D" w:rsidP="004018AD">
            <w:pPr>
              <w:jc w:val="center"/>
              <w:rPr>
                <w:b/>
                <w:sz w:val="20"/>
                <w:szCs w:val="20"/>
              </w:rPr>
            </w:pPr>
            <w:r w:rsidRPr="0080583E">
              <w:rPr>
                <w:b/>
                <w:i/>
                <w:sz w:val="20"/>
                <w:szCs w:val="20"/>
              </w:rPr>
              <w:t>Recommendation - Advance</w:t>
            </w:r>
          </w:p>
        </w:tc>
        <w:tc>
          <w:tcPr>
            <w:tcW w:w="3681" w:type="dxa"/>
            <w:vAlign w:val="center"/>
          </w:tcPr>
          <w:p w:rsidR="0084513D" w:rsidRPr="0080583E" w:rsidRDefault="0084513D" w:rsidP="004018AD">
            <w:pPr>
              <w:jc w:val="center"/>
              <w:rPr>
                <w:sz w:val="20"/>
                <w:szCs w:val="20"/>
              </w:rPr>
            </w:pPr>
            <w:r w:rsidRPr="0080583E">
              <w:rPr>
                <w:sz w:val="20"/>
                <w:szCs w:val="20"/>
              </w:rPr>
              <w:t>The current Articles specify that the period of office for Non-Executive Directors is 3 years. The proposal is to phase Directors’ initial period of office from 1 to 3 years with the potential for re-appointment</w:t>
            </w:r>
          </w:p>
        </w:tc>
        <w:tc>
          <w:tcPr>
            <w:tcW w:w="4779" w:type="dxa"/>
            <w:vAlign w:val="center"/>
          </w:tcPr>
          <w:p w:rsidR="0084513D" w:rsidRPr="0080583E" w:rsidRDefault="00435272" w:rsidP="004018AD">
            <w:pPr>
              <w:jc w:val="center"/>
              <w:rPr>
                <w:rFonts w:cstheme="minorHAnsi"/>
                <w:bCs/>
                <w:sz w:val="20"/>
                <w:szCs w:val="20"/>
              </w:rPr>
            </w:pPr>
            <w:r w:rsidRPr="0080583E">
              <w:rPr>
                <w:rFonts w:cstheme="minorHAnsi"/>
                <w:bCs/>
                <w:sz w:val="20"/>
                <w:szCs w:val="20"/>
              </w:rPr>
              <w:t>Amend clause 15.2 to read</w:t>
            </w:r>
          </w:p>
          <w:p w:rsidR="00435272" w:rsidRPr="0080583E" w:rsidRDefault="00435272" w:rsidP="004018AD">
            <w:pPr>
              <w:jc w:val="center"/>
              <w:rPr>
                <w:rFonts w:cstheme="minorHAnsi"/>
                <w:bCs/>
                <w:i/>
                <w:sz w:val="20"/>
                <w:szCs w:val="20"/>
              </w:rPr>
            </w:pPr>
            <w:r w:rsidRPr="0080583E">
              <w:rPr>
                <w:rFonts w:cstheme="minorHAnsi"/>
                <w:bCs/>
                <w:sz w:val="20"/>
                <w:szCs w:val="20"/>
              </w:rPr>
              <w:t>“</w:t>
            </w:r>
            <w:r w:rsidRPr="0080583E">
              <w:rPr>
                <w:rFonts w:cstheme="minorHAnsi"/>
                <w:bCs/>
                <w:i/>
                <w:sz w:val="20"/>
                <w:szCs w:val="20"/>
              </w:rPr>
              <w:t xml:space="preserve">Thereafter the term of office for non-executive directors shall be between one and three years commencing from the date of appointment. At the end of an initial period of office Directors will be eligible for re-appointment” </w:t>
            </w:r>
          </w:p>
        </w:tc>
      </w:tr>
      <w:tr w:rsidR="0084513D" w:rsidRPr="0080583E" w:rsidTr="0080583E">
        <w:tc>
          <w:tcPr>
            <w:tcW w:w="2268" w:type="dxa"/>
            <w:vAlign w:val="center"/>
          </w:tcPr>
          <w:p w:rsidR="0084513D" w:rsidRPr="0080583E" w:rsidRDefault="0084513D" w:rsidP="004018AD">
            <w:pPr>
              <w:jc w:val="center"/>
              <w:rPr>
                <w:b/>
                <w:sz w:val="20"/>
                <w:szCs w:val="20"/>
              </w:rPr>
            </w:pPr>
            <w:r w:rsidRPr="0080583E">
              <w:rPr>
                <w:b/>
                <w:sz w:val="20"/>
                <w:szCs w:val="20"/>
              </w:rPr>
              <w:t>Article 20 – Committees</w:t>
            </w:r>
          </w:p>
          <w:p w:rsidR="0084513D" w:rsidRPr="0080583E" w:rsidRDefault="0084513D" w:rsidP="004018AD">
            <w:pPr>
              <w:jc w:val="center"/>
              <w:rPr>
                <w:b/>
                <w:sz w:val="20"/>
                <w:szCs w:val="20"/>
              </w:rPr>
            </w:pPr>
          </w:p>
          <w:p w:rsidR="0084513D" w:rsidRPr="0080583E" w:rsidRDefault="0084513D" w:rsidP="004018AD">
            <w:pPr>
              <w:jc w:val="center"/>
              <w:rPr>
                <w:b/>
                <w:sz w:val="20"/>
                <w:szCs w:val="20"/>
              </w:rPr>
            </w:pPr>
            <w:r w:rsidRPr="0080583E">
              <w:rPr>
                <w:b/>
                <w:i/>
                <w:sz w:val="20"/>
                <w:szCs w:val="20"/>
              </w:rPr>
              <w:t>Recommendation - Advance</w:t>
            </w:r>
          </w:p>
        </w:tc>
        <w:tc>
          <w:tcPr>
            <w:tcW w:w="3681" w:type="dxa"/>
            <w:vAlign w:val="center"/>
          </w:tcPr>
          <w:p w:rsidR="0084513D" w:rsidRDefault="0084513D" w:rsidP="004018AD">
            <w:pPr>
              <w:jc w:val="center"/>
              <w:rPr>
                <w:sz w:val="20"/>
                <w:szCs w:val="20"/>
              </w:rPr>
            </w:pPr>
            <w:r w:rsidRPr="0080583E">
              <w:rPr>
                <w:sz w:val="20"/>
                <w:szCs w:val="20"/>
              </w:rPr>
              <w:t>Removal of the requirement for the membership of the Remuneration Committee to include the LA Director</w:t>
            </w:r>
            <w:r w:rsidR="00F92C5D" w:rsidRPr="0080583E">
              <w:rPr>
                <w:sz w:val="20"/>
                <w:szCs w:val="20"/>
              </w:rPr>
              <w:t xml:space="preserve"> as this is not a requirem</w:t>
            </w:r>
            <w:r w:rsidR="00435272" w:rsidRPr="0080583E">
              <w:rPr>
                <w:sz w:val="20"/>
                <w:szCs w:val="20"/>
              </w:rPr>
              <w:t>ent of the School Companies</w:t>
            </w:r>
            <w:r w:rsidR="00F92C5D" w:rsidRPr="0080583E">
              <w:rPr>
                <w:sz w:val="20"/>
                <w:szCs w:val="20"/>
              </w:rPr>
              <w:t xml:space="preserve"> Regulations</w:t>
            </w:r>
          </w:p>
          <w:p w:rsidR="00952494" w:rsidRPr="0080583E" w:rsidRDefault="00952494" w:rsidP="004018AD">
            <w:pPr>
              <w:jc w:val="center"/>
              <w:rPr>
                <w:sz w:val="20"/>
                <w:szCs w:val="20"/>
              </w:rPr>
            </w:pPr>
          </w:p>
        </w:tc>
        <w:tc>
          <w:tcPr>
            <w:tcW w:w="4779" w:type="dxa"/>
            <w:vAlign w:val="center"/>
          </w:tcPr>
          <w:p w:rsidR="0084513D" w:rsidRPr="0080583E" w:rsidRDefault="00F92C5D" w:rsidP="00F92C5D">
            <w:pPr>
              <w:jc w:val="center"/>
              <w:rPr>
                <w:sz w:val="20"/>
                <w:szCs w:val="20"/>
              </w:rPr>
            </w:pPr>
            <w:r w:rsidRPr="0080583E">
              <w:rPr>
                <w:sz w:val="20"/>
                <w:szCs w:val="20"/>
              </w:rPr>
              <w:t>Removal of clause 20.3  which reads “Any committee of the Board having responsibility for the employment or remuneration matters must include a Council Director”</w:t>
            </w:r>
          </w:p>
          <w:p w:rsidR="00A52A64" w:rsidRPr="0080583E" w:rsidRDefault="00A52A64" w:rsidP="00A52A64">
            <w:pPr>
              <w:rPr>
                <w:sz w:val="20"/>
                <w:szCs w:val="20"/>
              </w:rPr>
            </w:pPr>
          </w:p>
        </w:tc>
      </w:tr>
      <w:tr w:rsidR="00F92C5D" w:rsidRPr="0080583E" w:rsidTr="0080583E">
        <w:trPr>
          <w:trHeight w:val="1700"/>
        </w:trPr>
        <w:tc>
          <w:tcPr>
            <w:tcW w:w="2268" w:type="dxa"/>
          </w:tcPr>
          <w:p w:rsidR="00F92C5D" w:rsidRPr="0080583E" w:rsidRDefault="00F92C5D" w:rsidP="004018AD">
            <w:pPr>
              <w:jc w:val="center"/>
              <w:rPr>
                <w:b/>
                <w:sz w:val="20"/>
                <w:szCs w:val="20"/>
              </w:rPr>
            </w:pPr>
            <w:r w:rsidRPr="0080583E">
              <w:rPr>
                <w:b/>
                <w:sz w:val="20"/>
                <w:szCs w:val="20"/>
              </w:rPr>
              <w:t>Article 40 – Quorum for General Meetings</w:t>
            </w:r>
          </w:p>
          <w:p w:rsidR="00F92C5D" w:rsidRPr="0080583E" w:rsidRDefault="00F92C5D" w:rsidP="004018AD">
            <w:pPr>
              <w:jc w:val="center"/>
              <w:rPr>
                <w:b/>
                <w:sz w:val="20"/>
                <w:szCs w:val="20"/>
              </w:rPr>
            </w:pPr>
          </w:p>
          <w:p w:rsidR="00F92C5D" w:rsidRPr="0080583E" w:rsidRDefault="00F92C5D" w:rsidP="004018AD">
            <w:pPr>
              <w:jc w:val="center"/>
              <w:rPr>
                <w:b/>
                <w:sz w:val="20"/>
                <w:szCs w:val="20"/>
              </w:rPr>
            </w:pPr>
            <w:r w:rsidRPr="0080583E">
              <w:rPr>
                <w:b/>
                <w:i/>
                <w:sz w:val="20"/>
                <w:szCs w:val="20"/>
              </w:rPr>
              <w:t>Recommendation - Advance</w:t>
            </w:r>
          </w:p>
        </w:tc>
        <w:tc>
          <w:tcPr>
            <w:tcW w:w="3681" w:type="dxa"/>
          </w:tcPr>
          <w:p w:rsidR="00F92C5D" w:rsidRPr="0080583E" w:rsidRDefault="00F92C5D" w:rsidP="004018AD">
            <w:pPr>
              <w:jc w:val="center"/>
              <w:rPr>
                <w:sz w:val="20"/>
                <w:szCs w:val="20"/>
              </w:rPr>
            </w:pPr>
            <w:r w:rsidRPr="0080583E">
              <w:rPr>
                <w:sz w:val="20"/>
                <w:szCs w:val="20"/>
              </w:rPr>
              <w:t>It is proposed to amend the number of Members required for a quorum from one-third of total membership (i.e. currently approximately 40 from 120) to 20 Members or similar.</w:t>
            </w:r>
          </w:p>
        </w:tc>
        <w:tc>
          <w:tcPr>
            <w:tcW w:w="4779" w:type="dxa"/>
          </w:tcPr>
          <w:p w:rsidR="00F92C5D" w:rsidRPr="0080583E" w:rsidRDefault="00F92C5D" w:rsidP="004018AD">
            <w:pPr>
              <w:jc w:val="center"/>
              <w:rPr>
                <w:rFonts w:cstheme="minorHAnsi"/>
                <w:bCs/>
                <w:sz w:val="20"/>
                <w:szCs w:val="20"/>
              </w:rPr>
            </w:pPr>
            <w:r w:rsidRPr="0080583E">
              <w:rPr>
                <w:rFonts w:cstheme="minorHAnsi"/>
                <w:bCs/>
                <w:sz w:val="20"/>
                <w:szCs w:val="20"/>
              </w:rPr>
              <w:t xml:space="preserve">Amend the wording of 40.2 to </w:t>
            </w:r>
          </w:p>
          <w:p w:rsidR="00F92C5D" w:rsidRPr="0080583E" w:rsidRDefault="00F92C5D" w:rsidP="004018AD">
            <w:pPr>
              <w:jc w:val="center"/>
              <w:rPr>
                <w:rFonts w:cstheme="minorHAnsi"/>
                <w:bCs/>
                <w:i/>
                <w:sz w:val="20"/>
                <w:szCs w:val="20"/>
              </w:rPr>
            </w:pPr>
            <w:r w:rsidRPr="0080583E">
              <w:rPr>
                <w:rFonts w:cstheme="minorHAnsi"/>
                <w:bCs/>
                <w:sz w:val="20"/>
                <w:szCs w:val="20"/>
              </w:rPr>
              <w:t>“</w:t>
            </w:r>
            <w:r w:rsidRPr="0080583E">
              <w:rPr>
                <w:rFonts w:cstheme="minorHAnsi"/>
                <w:bCs/>
                <w:i/>
                <w:sz w:val="20"/>
                <w:szCs w:val="20"/>
              </w:rPr>
              <w:t>The quorum for Company meetings must be 20 Members save if the number of Members is less than 60 when the quorum shall be one third of the number of Members.”</w:t>
            </w:r>
          </w:p>
        </w:tc>
      </w:tr>
    </w:tbl>
    <w:p w:rsidR="0084513D" w:rsidRPr="0080583E" w:rsidRDefault="0084513D">
      <w:pPr>
        <w:rPr>
          <w:sz w:val="20"/>
          <w:szCs w:val="20"/>
        </w:rPr>
      </w:pPr>
    </w:p>
    <w:sectPr w:rsidR="0084513D" w:rsidRPr="0080583E" w:rsidSect="0084513D">
      <w:footerReference w:type="default" r:id="rId7"/>
      <w:pgSz w:w="11906" w:h="16838"/>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59" w:rsidRDefault="00280159" w:rsidP="0084513D">
      <w:pPr>
        <w:spacing w:after="0" w:line="240" w:lineRule="auto"/>
      </w:pPr>
      <w:r>
        <w:separator/>
      </w:r>
    </w:p>
  </w:endnote>
  <w:endnote w:type="continuationSeparator" w:id="0">
    <w:p w:rsidR="00280159" w:rsidRDefault="00280159" w:rsidP="0084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3D" w:rsidRPr="00952494" w:rsidRDefault="000A2A93" w:rsidP="0095249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C:\Users\User\Documents\Learn Sheffield\AGM &amp; EGM\Postponed to March 18\REVISED Proposed wording for changes to Articles Spring 2018[1971].docx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59" w:rsidRDefault="00280159" w:rsidP="0084513D">
      <w:pPr>
        <w:spacing w:after="0" w:line="240" w:lineRule="auto"/>
      </w:pPr>
      <w:r>
        <w:separator/>
      </w:r>
    </w:p>
  </w:footnote>
  <w:footnote w:type="continuationSeparator" w:id="0">
    <w:p w:rsidR="00280159" w:rsidRDefault="00280159" w:rsidP="00845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AD"/>
    <w:rsid w:val="000A2A93"/>
    <w:rsid w:val="00190234"/>
    <w:rsid w:val="001A7133"/>
    <w:rsid w:val="001D0182"/>
    <w:rsid w:val="00280159"/>
    <w:rsid w:val="002801CE"/>
    <w:rsid w:val="00323A29"/>
    <w:rsid w:val="00435272"/>
    <w:rsid w:val="006D4E89"/>
    <w:rsid w:val="00721CF4"/>
    <w:rsid w:val="0080583E"/>
    <w:rsid w:val="0084513D"/>
    <w:rsid w:val="008F41B6"/>
    <w:rsid w:val="00952494"/>
    <w:rsid w:val="00A52A64"/>
    <w:rsid w:val="00AF4B2F"/>
    <w:rsid w:val="00CC25AD"/>
    <w:rsid w:val="00EF677E"/>
    <w:rsid w:val="00F92C5D"/>
    <w:rsid w:val="00FF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13D"/>
  </w:style>
  <w:style w:type="paragraph" w:styleId="Footer">
    <w:name w:val="footer"/>
    <w:basedOn w:val="Normal"/>
    <w:link w:val="FooterChar"/>
    <w:uiPriority w:val="99"/>
    <w:unhideWhenUsed/>
    <w:rsid w:val="00845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3D"/>
  </w:style>
  <w:style w:type="paragraph" w:styleId="BalloonText">
    <w:name w:val="Balloon Text"/>
    <w:basedOn w:val="Normal"/>
    <w:link w:val="BalloonTextChar"/>
    <w:uiPriority w:val="99"/>
    <w:semiHidden/>
    <w:unhideWhenUsed/>
    <w:rsid w:val="0084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3D"/>
    <w:rPr>
      <w:rFonts w:ascii="Tahoma" w:hAnsi="Tahoma" w:cs="Tahoma"/>
      <w:sz w:val="16"/>
      <w:szCs w:val="16"/>
    </w:rPr>
  </w:style>
  <w:style w:type="table" w:styleId="TableGrid">
    <w:name w:val="Table Grid"/>
    <w:basedOn w:val="TableNormal"/>
    <w:uiPriority w:val="39"/>
    <w:rsid w:val="0084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801C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01CE"/>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13D"/>
  </w:style>
  <w:style w:type="paragraph" w:styleId="Footer">
    <w:name w:val="footer"/>
    <w:basedOn w:val="Normal"/>
    <w:link w:val="FooterChar"/>
    <w:uiPriority w:val="99"/>
    <w:unhideWhenUsed/>
    <w:rsid w:val="00845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3D"/>
  </w:style>
  <w:style w:type="paragraph" w:styleId="BalloonText">
    <w:name w:val="Balloon Text"/>
    <w:basedOn w:val="Normal"/>
    <w:link w:val="BalloonTextChar"/>
    <w:uiPriority w:val="99"/>
    <w:semiHidden/>
    <w:unhideWhenUsed/>
    <w:rsid w:val="0084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3D"/>
    <w:rPr>
      <w:rFonts w:ascii="Tahoma" w:hAnsi="Tahoma" w:cs="Tahoma"/>
      <w:sz w:val="16"/>
      <w:szCs w:val="16"/>
    </w:rPr>
  </w:style>
  <w:style w:type="table" w:styleId="TableGrid">
    <w:name w:val="Table Grid"/>
    <w:basedOn w:val="TableNormal"/>
    <w:uiPriority w:val="39"/>
    <w:rsid w:val="0084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801C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01C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2796">
      <w:bodyDiv w:val="1"/>
      <w:marLeft w:val="0"/>
      <w:marRight w:val="0"/>
      <w:marTop w:val="0"/>
      <w:marBottom w:val="0"/>
      <w:divBdr>
        <w:top w:val="none" w:sz="0" w:space="0" w:color="auto"/>
        <w:left w:val="none" w:sz="0" w:space="0" w:color="auto"/>
        <w:bottom w:val="none" w:sz="0" w:space="0" w:color="auto"/>
        <w:right w:val="none" w:sz="0" w:space="0" w:color="auto"/>
      </w:divBdr>
      <w:divsChild>
        <w:div w:id="1952198743">
          <w:marLeft w:val="0"/>
          <w:marRight w:val="0"/>
          <w:marTop w:val="0"/>
          <w:marBottom w:val="0"/>
          <w:divBdr>
            <w:top w:val="none" w:sz="0" w:space="0" w:color="auto"/>
            <w:left w:val="none" w:sz="0" w:space="0" w:color="auto"/>
            <w:bottom w:val="none" w:sz="0" w:space="0" w:color="auto"/>
            <w:right w:val="none" w:sz="0" w:space="0" w:color="auto"/>
          </w:divBdr>
          <w:divsChild>
            <w:div w:id="1503013417">
              <w:marLeft w:val="0"/>
              <w:marRight w:val="0"/>
              <w:marTop w:val="0"/>
              <w:marBottom w:val="0"/>
              <w:divBdr>
                <w:top w:val="none" w:sz="0" w:space="0" w:color="auto"/>
                <w:left w:val="none" w:sz="0" w:space="0" w:color="auto"/>
                <w:bottom w:val="none" w:sz="0" w:space="0" w:color="auto"/>
                <w:right w:val="none" w:sz="0" w:space="0" w:color="auto"/>
              </w:divBdr>
              <w:divsChild>
                <w:div w:id="1904560769">
                  <w:marLeft w:val="0"/>
                  <w:marRight w:val="0"/>
                  <w:marTop w:val="0"/>
                  <w:marBottom w:val="0"/>
                  <w:divBdr>
                    <w:top w:val="none" w:sz="0" w:space="0" w:color="auto"/>
                    <w:left w:val="none" w:sz="0" w:space="0" w:color="auto"/>
                    <w:bottom w:val="none" w:sz="0" w:space="0" w:color="auto"/>
                    <w:right w:val="none" w:sz="0" w:space="0" w:color="auto"/>
                  </w:divBdr>
                  <w:divsChild>
                    <w:div w:id="219370401">
                      <w:marLeft w:val="0"/>
                      <w:marRight w:val="0"/>
                      <w:marTop w:val="0"/>
                      <w:marBottom w:val="0"/>
                      <w:divBdr>
                        <w:top w:val="none" w:sz="0" w:space="0" w:color="auto"/>
                        <w:left w:val="none" w:sz="0" w:space="0" w:color="auto"/>
                        <w:bottom w:val="none" w:sz="0" w:space="0" w:color="auto"/>
                        <w:right w:val="none" w:sz="0" w:space="0" w:color="auto"/>
                      </w:divBdr>
                      <w:divsChild>
                        <w:div w:id="1355309266">
                          <w:marLeft w:val="0"/>
                          <w:marRight w:val="0"/>
                          <w:marTop w:val="0"/>
                          <w:marBottom w:val="0"/>
                          <w:divBdr>
                            <w:top w:val="none" w:sz="0" w:space="0" w:color="auto"/>
                            <w:left w:val="none" w:sz="0" w:space="0" w:color="auto"/>
                            <w:bottom w:val="none" w:sz="0" w:space="0" w:color="auto"/>
                            <w:right w:val="none" w:sz="0" w:space="0" w:color="auto"/>
                          </w:divBdr>
                          <w:divsChild>
                            <w:div w:id="66540538">
                              <w:marLeft w:val="15"/>
                              <w:marRight w:val="195"/>
                              <w:marTop w:val="0"/>
                              <w:marBottom w:val="0"/>
                              <w:divBdr>
                                <w:top w:val="none" w:sz="0" w:space="0" w:color="auto"/>
                                <w:left w:val="none" w:sz="0" w:space="0" w:color="auto"/>
                                <w:bottom w:val="none" w:sz="0" w:space="0" w:color="auto"/>
                                <w:right w:val="none" w:sz="0" w:space="0" w:color="auto"/>
                              </w:divBdr>
                              <w:divsChild>
                                <w:div w:id="237519086">
                                  <w:marLeft w:val="0"/>
                                  <w:marRight w:val="0"/>
                                  <w:marTop w:val="0"/>
                                  <w:marBottom w:val="0"/>
                                  <w:divBdr>
                                    <w:top w:val="none" w:sz="0" w:space="0" w:color="auto"/>
                                    <w:left w:val="none" w:sz="0" w:space="0" w:color="auto"/>
                                    <w:bottom w:val="none" w:sz="0" w:space="0" w:color="auto"/>
                                    <w:right w:val="none" w:sz="0" w:space="0" w:color="auto"/>
                                  </w:divBdr>
                                  <w:divsChild>
                                    <w:div w:id="769818286">
                                      <w:marLeft w:val="0"/>
                                      <w:marRight w:val="0"/>
                                      <w:marTop w:val="0"/>
                                      <w:marBottom w:val="0"/>
                                      <w:divBdr>
                                        <w:top w:val="none" w:sz="0" w:space="0" w:color="auto"/>
                                        <w:left w:val="none" w:sz="0" w:space="0" w:color="auto"/>
                                        <w:bottom w:val="none" w:sz="0" w:space="0" w:color="auto"/>
                                        <w:right w:val="none" w:sz="0" w:space="0" w:color="auto"/>
                                      </w:divBdr>
                                      <w:divsChild>
                                        <w:div w:id="614408299">
                                          <w:marLeft w:val="0"/>
                                          <w:marRight w:val="0"/>
                                          <w:marTop w:val="0"/>
                                          <w:marBottom w:val="0"/>
                                          <w:divBdr>
                                            <w:top w:val="none" w:sz="0" w:space="0" w:color="auto"/>
                                            <w:left w:val="none" w:sz="0" w:space="0" w:color="auto"/>
                                            <w:bottom w:val="none" w:sz="0" w:space="0" w:color="auto"/>
                                            <w:right w:val="none" w:sz="0" w:space="0" w:color="auto"/>
                                          </w:divBdr>
                                          <w:divsChild>
                                            <w:div w:id="230892524">
                                              <w:marLeft w:val="0"/>
                                              <w:marRight w:val="0"/>
                                              <w:marTop w:val="0"/>
                                              <w:marBottom w:val="0"/>
                                              <w:divBdr>
                                                <w:top w:val="none" w:sz="0" w:space="0" w:color="auto"/>
                                                <w:left w:val="none" w:sz="0" w:space="0" w:color="auto"/>
                                                <w:bottom w:val="none" w:sz="0" w:space="0" w:color="auto"/>
                                                <w:right w:val="none" w:sz="0" w:space="0" w:color="auto"/>
                                              </w:divBdr>
                                              <w:divsChild>
                                                <w:div w:id="1982149602">
                                                  <w:marLeft w:val="0"/>
                                                  <w:marRight w:val="0"/>
                                                  <w:marTop w:val="0"/>
                                                  <w:marBottom w:val="0"/>
                                                  <w:divBdr>
                                                    <w:top w:val="none" w:sz="0" w:space="0" w:color="auto"/>
                                                    <w:left w:val="none" w:sz="0" w:space="0" w:color="auto"/>
                                                    <w:bottom w:val="none" w:sz="0" w:space="0" w:color="auto"/>
                                                    <w:right w:val="none" w:sz="0" w:space="0" w:color="auto"/>
                                                  </w:divBdr>
                                                  <w:divsChild>
                                                    <w:div w:id="2005279599">
                                                      <w:marLeft w:val="0"/>
                                                      <w:marRight w:val="0"/>
                                                      <w:marTop w:val="0"/>
                                                      <w:marBottom w:val="0"/>
                                                      <w:divBdr>
                                                        <w:top w:val="none" w:sz="0" w:space="0" w:color="auto"/>
                                                        <w:left w:val="none" w:sz="0" w:space="0" w:color="auto"/>
                                                        <w:bottom w:val="none" w:sz="0" w:space="0" w:color="auto"/>
                                                        <w:right w:val="none" w:sz="0" w:space="0" w:color="auto"/>
                                                      </w:divBdr>
                                                      <w:divsChild>
                                                        <w:div w:id="1563835856">
                                                          <w:marLeft w:val="0"/>
                                                          <w:marRight w:val="0"/>
                                                          <w:marTop w:val="0"/>
                                                          <w:marBottom w:val="0"/>
                                                          <w:divBdr>
                                                            <w:top w:val="none" w:sz="0" w:space="0" w:color="auto"/>
                                                            <w:left w:val="none" w:sz="0" w:space="0" w:color="auto"/>
                                                            <w:bottom w:val="none" w:sz="0" w:space="0" w:color="auto"/>
                                                            <w:right w:val="none" w:sz="0" w:space="0" w:color="auto"/>
                                                          </w:divBdr>
                                                          <w:divsChild>
                                                            <w:div w:id="1221550052">
                                                              <w:marLeft w:val="0"/>
                                                              <w:marRight w:val="0"/>
                                                              <w:marTop w:val="0"/>
                                                              <w:marBottom w:val="0"/>
                                                              <w:divBdr>
                                                                <w:top w:val="none" w:sz="0" w:space="0" w:color="auto"/>
                                                                <w:left w:val="none" w:sz="0" w:space="0" w:color="auto"/>
                                                                <w:bottom w:val="none" w:sz="0" w:space="0" w:color="auto"/>
                                                                <w:right w:val="none" w:sz="0" w:space="0" w:color="auto"/>
                                                              </w:divBdr>
                                                              <w:divsChild>
                                                                <w:div w:id="491991055">
                                                                  <w:marLeft w:val="0"/>
                                                                  <w:marRight w:val="0"/>
                                                                  <w:marTop w:val="0"/>
                                                                  <w:marBottom w:val="0"/>
                                                                  <w:divBdr>
                                                                    <w:top w:val="none" w:sz="0" w:space="0" w:color="auto"/>
                                                                    <w:left w:val="none" w:sz="0" w:space="0" w:color="auto"/>
                                                                    <w:bottom w:val="none" w:sz="0" w:space="0" w:color="auto"/>
                                                                    <w:right w:val="none" w:sz="0" w:space="0" w:color="auto"/>
                                                                  </w:divBdr>
                                                                  <w:divsChild>
                                                                    <w:div w:id="1025668772">
                                                                      <w:marLeft w:val="405"/>
                                                                      <w:marRight w:val="0"/>
                                                                      <w:marTop w:val="0"/>
                                                                      <w:marBottom w:val="0"/>
                                                                      <w:divBdr>
                                                                        <w:top w:val="none" w:sz="0" w:space="0" w:color="auto"/>
                                                                        <w:left w:val="none" w:sz="0" w:space="0" w:color="auto"/>
                                                                        <w:bottom w:val="none" w:sz="0" w:space="0" w:color="auto"/>
                                                                        <w:right w:val="none" w:sz="0" w:space="0" w:color="auto"/>
                                                                      </w:divBdr>
                                                                      <w:divsChild>
                                                                        <w:div w:id="1055590522">
                                                                          <w:marLeft w:val="0"/>
                                                                          <w:marRight w:val="0"/>
                                                                          <w:marTop w:val="0"/>
                                                                          <w:marBottom w:val="0"/>
                                                                          <w:divBdr>
                                                                            <w:top w:val="none" w:sz="0" w:space="0" w:color="auto"/>
                                                                            <w:left w:val="none" w:sz="0" w:space="0" w:color="auto"/>
                                                                            <w:bottom w:val="none" w:sz="0" w:space="0" w:color="auto"/>
                                                                            <w:right w:val="none" w:sz="0" w:space="0" w:color="auto"/>
                                                                          </w:divBdr>
                                                                          <w:divsChild>
                                                                            <w:div w:id="2100103220">
                                                                              <w:marLeft w:val="0"/>
                                                                              <w:marRight w:val="0"/>
                                                                              <w:marTop w:val="0"/>
                                                                              <w:marBottom w:val="0"/>
                                                                              <w:divBdr>
                                                                                <w:top w:val="none" w:sz="0" w:space="0" w:color="auto"/>
                                                                                <w:left w:val="none" w:sz="0" w:space="0" w:color="auto"/>
                                                                                <w:bottom w:val="none" w:sz="0" w:space="0" w:color="auto"/>
                                                                                <w:right w:val="none" w:sz="0" w:space="0" w:color="auto"/>
                                                                              </w:divBdr>
                                                                              <w:divsChild>
                                                                                <w:div w:id="72554981">
                                                                                  <w:marLeft w:val="0"/>
                                                                                  <w:marRight w:val="0"/>
                                                                                  <w:marTop w:val="0"/>
                                                                                  <w:marBottom w:val="0"/>
                                                                                  <w:divBdr>
                                                                                    <w:top w:val="none" w:sz="0" w:space="0" w:color="auto"/>
                                                                                    <w:left w:val="none" w:sz="0" w:space="0" w:color="auto"/>
                                                                                    <w:bottom w:val="none" w:sz="0" w:space="0" w:color="auto"/>
                                                                                    <w:right w:val="none" w:sz="0" w:space="0" w:color="auto"/>
                                                                                  </w:divBdr>
                                                                                  <w:divsChild>
                                                                                    <w:div w:id="70931088">
                                                                                      <w:marLeft w:val="0"/>
                                                                                      <w:marRight w:val="0"/>
                                                                                      <w:marTop w:val="0"/>
                                                                                      <w:marBottom w:val="0"/>
                                                                                      <w:divBdr>
                                                                                        <w:top w:val="none" w:sz="0" w:space="0" w:color="auto"/>
                                                                                        <w:left w:val="none" w:sz="0" w:space="0" w:color="auto"/>
                                                                                        <w:bottom w:val="none" w:sz="0" w:space="0" w:color="auto"/>
                                                                                        <w:right w:val="none" w:sz="0" w:space="0" w:color="auto"/>
                                                                                      </w:divBdr>
                                                                                      <w:divsChild>
                                                                                        <w:div w:id="675839629">
                                                                                          <w:marLeft w:val="0"/>
                                                                                          <w:marRight w:val="0"/>
                                                                                          <w:marTop w:val="0"/>
                                                                                          <w:marBottom w:val="0"/>
                                                                                          <w:divBdr>
                                                                                            <w:top w:val="none" w:sz="0" w:space="0" w:color="auto"/>
                                                                                            <w:left w:val="none" w:sz="0" w:space="0" w:color="auto"/>
                                                                                            <w:bottom w:val="none" w:sz="0" w:space="0" w:color="auto"/>
                                                                                            <w:right w:val="none" w:sz="0" w:space="0" w:color="auto"/>
                                                                                          </w:divBdr>
                                                                                          <w:divsChild>
                                                                                            <w:div w:id="1341080261">
                                                                                              <w:marLeft w:val="0"/>
                                                                                              <w:marRight w:val="0"/>
                                                                                              <w:marTop w:val="0"/>
                                                                                              <w:marBottom w:val="0"/>
                                                                                              <w:divBdr>
                                                                                                <w:top w:val="none" w:sz="0" w:space="0" w:color="auto"/>
                                                                                                <w:left w:val="none" w:sz="0" w:space="0" w:color="auto"/>
                                                                                                <w:bottom w:val="none" w:sz="0" w:space="0" w:color="auto"/>
                                                                                                <w:right w:val="none" w:sz="0" w:space="0" w:color="auto"/>
                                                                                              </w:divBdr>
                                                                                              <w:divsChild>
                                                                                                <w:div w:id="781919420">
                                                                                                  <w:marLeft w:val="0"/>
                                                                                                  <w:marRight w:val="0"/>
                                                                                                  <w:marTop w:val="0"/>
                                                                                                  <w:marBottom w:val="0"/>
                                                                                                  <w:divBdr>
                                                                                                    <w:top w:val="none" w:sz="0" w:space="0" w:color="auto"/>
                                                                                                    <w:left w:val="single" w:sz="12" w:space="8" w:color="auto"/>
                                                                                                    <w:bottom w:val="none" w:sz="0" w:space="0" w:color="auto"/>
                                                                                                    <w:right w:val="none" w:sz="0" w:space="0" w:color="auto"/>
                                                                                                  </w:divBdr>
                                                                                                  <w:divsChild>
                                                                                                    <w:div w:id="53431292">
                                                                                                      <w:marLeft w:val="0"/>
                                                                                                      <w:marRight w:val="0"/>
                                                                                                      <w:marTop w:val="0"/>
                                                                                                      <w:marBottom w:val="0"/>
                                                                                                      <w:divBdr>
                                                                                                        <w:top w:val="none" w:sz="0" w:space="0" w:color="auto"/>
                                                                                                        <w:left w:val="none" w:sz="0" w:space="0" w:color="auto"/>
                                                                                                        <w:bottom w:val="none" w:sz="0" w:space="0" w:color="auto"/>
                                                                                                        <w:right w:val="none" w:sz="0" w:space="0" w:color="auto"/>
                                                                                                      </w:divBdr>
                                                                                                      <w:divsChild>
                                                                                                        <w:div w:id="1452745774">
                                                                                                          <w:marLeft w:val="0"/>
                                                                                                          <w:marRight w:val="0"/>
                                                                                                          <w:marTop w:val="0"/>
                                                                                                          <w:marBottom w:val="0"/>
                                                                                                          <w:divBdr>
                                                                                                            <w:top w:val="none" w:sz="0" w:space="0" w:color="auto"/>
                                                                                                            <w:left w:val="none" w:sz="0" w:space="0" w:color="auto"/>
                                                                                                            <w:bottom w:val="none" w:sz="0" w:space="0" w:color="auto"/>
                                                                                                            <w:right w:val="none" w:sz="0" w:space="0" w:color="auto"/>
                                                                                                          </w:divBdr>
                                                                                                          <w:divsChild>
                                                                                                            <w:div w:id="116146143">
                                                                                                              <w:marLeft w:val="0"/>
                                                                                                              <w:marRight w:val="0"/>
                                                                                                              <w:marTop w:val="0"/>
                                                                                                              <w:marBottom w:val="0"/>
                                                                                                              <w:divBdr>
                                                                                                                <w:top w:val="none" w:sz="0" w:space="0" w:color="auto"/>
                                                                                                                <w:left w:val="none" w:sz="0" w:space="0" w:color="auto"/>
                                                                                                                <w:bottom w:val="none" w:sz="0" w:space="0" w:color="auto"/>
                                                                                                                <w:right w:val="none" w:sz="0" w:space="0" w:color="auto"/>
                                                                                                              </w:divBdr>
                                                                                                              <w:divsChild>
                                                                                                                <w:div w:id="288318024">
                                                                                                                  <w:marLeft w:val="0"/>
                                                                                                                  <w:marRight w:val="0"/>
                                                                                                                  <w:marTop w:val="0"/>
                                                                                                                  <w:marBottom w:val="0"/>
                                                                                                                  <w:divBdr>
                                                                                                                    <w:top w:val="none" w:sz="0" w:space="0" w:color="auto"/>
                                                                                                                    <w:left w:val="none" w:sz="0" w:space="0" w:color="auto"/>
                                                                                                                    <w:bottom w:val="none" w:sz="0" w:space="0" w:color="auto"/>
                                                                                                                    <w:right w:val="none" w:sz="0" w:space="0" w:color="auto"/>
                                                                                                                  </w:divBdr>
                                                                                                                  <w:divsChild>
                                                                                                                    <w:div w:id="1396778400">
                                                                                                                      <w:marLeft w:val="0"/>
                                                                                                                      <w:marRight w:val="0"/>
                                                                                                                      <w:marTop w:val="0"/>
                                                                                                                      <w:marBottom w:val="0"/>
                                                                                                                      <w:divBdr>
                                                                                                                        <w:top w:val="none" w:sz="0" w:space="0" w:color="auto"/>
                                                                                                                        <w:left w:val="none" w:sz="0" w:space="0" w:color="auto"/>
                                                                                                                        <w:bottom w:val="none" w:sz="0" w:space="0" w:color="auto"/>
                                                                                                                        <w:right w:val="none" w:sz="0" w:space="0" w:color="auto"/>
                                                                                                                      </w:divBdr>
                                                                                                                      <w:divsChild>
                                                                                                                        <w:div w:id="1442921595">
                                                                                                                          <w:marLeft w:val="0"/>
                                                                                                                          <w:marRight w:val="0"/>
                                                                                                                          <w:marTop w:val="0"/>
                                                                                                                          <w:marBottom w:val="0"/>
                                                                                                                          <w:divBdr>
                                                                                                                            <w:top w:val="none" w:sz="0" w:space="0" w:color="auto"/>
                                                                                                                            <w:left w:val="none" w:sz="0" w:space="0" w:color="auto"/>
                                                                                                                            <w:bottom w:val="none" w:sz="0" w:space="0" w:color="auto"/>
                                                                                                                            <w:right w:val="none" w:sz="0" w:space="0" w:color="auto"/>
                                                                                                                          </w:divBdr>
                                                                                                                          <w:divsChild>
                                                                                                                            <w:div w:id="729960942">
                                                                                                                              <w:marLeft w:val="720"/>
                                                                                                                              <w:marRight w:val="0"/>
                                                                                                                              <w:marTop w:val="0"/>
                                                                                                                              <w:marBottom w:val="0"/>
                                                                                                                              <w:divBdr>
                                                                                                                                <w:top w:val="none" w:sz="0" w:space="0" w:color="auto"/>
                                                                                                                                <w:left w:val="none" w:sz="0" w:space="0" w:color="auto"/>
                                                                                                                                <w:bottom w:val="none" w:sz="0" w:space="0" w:color="auto"/>
                                                                                                                                <w:right w:val="none" w:sz="0" w:space="0" w:color="auto"/>
                                                                                                                              </w:divBdr>
                                                                                                                            </w:div>
                                                                                                                            <w:div w:id="620454189">
                                                                                                                              <w:marLeft w:val="1440"/>
                                                                                                                              <w:marRight w:val="0"/>
                                                                                                                              <w:marTop w:val="0"/>
                                                                                                                              <w:marBottom w:val="0"/>
                                                                                                                              <w:divBdr>
                                                                                                                                <w:top w:val="none" w:sz="0" w:space="0" w:color="auto"/>
                                                                                                                                <w:left w:val="none" w:sz="0" w:space="0" w:color="auto"/>
                                                                                                                                <w:bottom w:val="none" w:sz="0" w:space="0" w:color="auto"/>
                                                                                                                                <w:right w:val="none" w:sz="0" w:space="0" w:color="auto"/>
                                                                                                                              </w:divBdr>
                                                                                                                            </w:div>
                                                                                                                            <w:div w:id="78985826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2018-01-24T17:22:00Z</cp:lastPrinted>
  <dcterms:created xsi:type="dcterms:W3CDTF">2018-02-01T11:35:00Z</dcterms:created>
  <dcterms:modified xsi:type="dcterms:W3CDTF">2018-02-28T15:03:00Z</dcterms:modified>
</cp:coreProperties>
</file>